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8432" w14:textId="69423981" w:rsidR="00484937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Cel ponownego wykorzystywania (</w:t>
      </w:r>
      <w:proofErr w:type="spellStart"/>
      <w:r w:rsidRPr="008B2362">
        <w:rPr>
          <w:rFonts w:ascii="Times New Roman" w:hAnsi="Times New Roman" w:cs="Times New Roman"/>
          <w:i/>
          <w:iCs/>
          <w:color w:val="000000"/>
          <w:sz w:val="21"/>
          <w:szCs w:val="21"/>
        </w:rPr>
        <w:t>reuse</w:t>
      </w:r>
      <w:proofErr w:type="spellEnd"/>
      <w:r w:rsidRPr="008B2362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12EDE05A" w14:textId="78522D32" w:rsidR="00484937" w:rsidRPr="008B2362" w:rsidRDefault="00484937" w:rsidP="00087D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Porównanie celów prawa do informacji i prawa do ponownego wykorzystywania informacji sektora publicznego </w:t>
      </w:r>
    </w:p>
    <w:p w14:paraId="039CCE01" w14:textId="725CFDE6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Rys historyczny </w:t>
      </w:r>
    </w:p>
    <w:p w14:paraId="7485633A" w14:textId="47D9704A" w:rsidR="00484937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Uporządkowani</w:t>
      </w:r>
      <w:r w:rsidR="00087D37" w:rsidRPr="008B2362">
        <w:rPr>
          <w:rFonts w:ascii="Times New Roman" w:hAnsi="Times New Roman" w:cs="Times New Roman"/>
          <w:color w:val="000000"/>
          <w:sz w:val="21"/>
          <w:szCs w:val="21"/>
        </w:rPr>
        <w:t>e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definicyjne ponownego wykorzystywania </w:t>
      </w:r>
    </w:p>
    <w:p w14:paraId="0F2F1627" w14:textId="1FC10F27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Czym jest informacja sektora publicznego </w:t>
      </w:r>
    </w:p>
    <w:p w14:paraId="3A029489" w14:textId="4819E4C1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Czym jest informacja publiczna (porównanie) </w:t>
      </w:r>
    </w:p>
    <w:p w14:paraId="2469A63E" w14:textId="66474E85" w:rsidR="00484937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Rozszerzenie zakresu podmiotów zobowiązanych </w:t>
      </w:r>
    </w:p>
    <w:p w14:paraId="589C4484" w14:textId="65E21F3F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Podmioty obowiązane (prawo do informacji) i podmioty zobowiązane (</w:t>
      </w:r>
      <w:proofErr w:type="spellStart"/>
      <w:r w:rsidRPr="008B2362">
        <w:rPr>
          <w:rFonts w:ascii="Times New Roman" w:hAnsi="Times New Roman" w:cs="Times New Roman"/>
          <w:i/>
          <w:iCs/>
          <w:color w:val="000000"/>
          <w:sz w:val="21"/>
          <w:szCs w:val="21"/>
        </w:rPr>
        <w:t>reuse</w:t>
      </w:r>
      <w:proofErr w:type="spellEnd"/>
      <w:r w:rsidRPr="008B2362">
        <w:rPr>
          <w:rFonts w:ascii="Times New Roman" w:hAnsi="Times New Roman" w:cs="Times New Roman"/>
          <w:color w:val="000000"/>
          <w:sz w:val="21"/>
          <w:szCs w:val="21"/>
        </w:rPr>
        <w:t>) – porównanie</w:t>
      </w:r>
    </w:p>
    <w:p w14:paraId="48B6CFCB" w14:textId="1D700FE1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Prowadzenie strony BIP jako warunek bycia podmiotem zobowiązanym </w:t>
      </w:r>
    </w:p>
    <w:p w14:paraId="558EA9F7" w14:textId="10947863" w:rsidR="00484937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Rozszerzenie zakresu przedmiotowego ustawy o otwartych danych – nowe kategorie danych</w:t>
      </w:r>
    </w:p>
    <w:p w14:paraId="32FB5EC6" w14:textId="7E8481DB" w:rsidR="00484937" w:rsidRPr="008B2362" w:rsidRDefault="00484937" w:rsidP="00F611BB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Dana badawcze</w:t>
      </w:r>
      <w:r w:rsidR="008B2362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8B236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>ane dynamiczne</w:t>
      </w:r>
    </w:p>
    <w:p w14:paraId="7F396239" w14:textId="302714F6" w:rsidR="004849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Dane o wysokiej wartości </w:t>
      </w:r>
    </w:p>
    <w:p w14:paraId="50A30605" w14:textId="37CFFA57" w:rsidR="00C1145D" w:rsidRPr="008B2362" w:rsidRDefault="00484937" w:rsidP="00C1145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Dane prywatne</w:t>
      </w:r>
      <w:r w:rsidR="00C1145D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– w kontekście prawa do informacji i </w:t>
      </w:r>
      <w:proofErr w:type="spellStart"/>
      <w:r w:rsidR="00C1145D" w:rsidRPr="008B2362">
        <w:rPr>
          <w:rFonts w:ascii="Times New Roman" w:hAnsi="Times New Roman" w:cs="Times New Roman"/>
          <w:i/>
          <w:iCs/>
          <w:color w:val="000000"/>
          <w:sz w:val="21"/>
          <w:szCs w:val="21"/>
        </w:rPr>
        <w:t>reuse</w:t>
      </w:r>
      <w:proofErr w:type="spellEnd"/>
    </w:p>
    <w:p w14:paraId="40C3BE36" w14:textId="7BB59AB9" w:rsidR="00C1145D" w:rsidRPr="008B2362" w:rsidRDefault="00C1145D" w:rsidP="00C1145D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Metadane, dane otwarte, stosowane formaty danych </w:t>
      </w:r>
    </w:p>
    <w:p w14:paraId="5F98AD69" w14:textId="17964DE3" w:rsidR="00C1145D" w:rsidRPr="008B2362" w:rsidRDefault="00C1145D" w:rsidP="00087D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Analiza porównawcza przepisów ustawy o otwartych danych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>i poprzednio obowiązującej ustawy o ponownym wykorzystywaniu informacji</w:t>
      </w:r>
    </w:p>
    <w:p w14:paraId="0640C2C0" w14:textId="77777777" w:rsidR="00087D37" w:rsidRPr="008B2362" w:rsidRDefault="00087D37" w:rsidP="00087D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Uregulowanie zjawiska </w:t>
      </w:r>
      <w:proofErr w:type="spellStart"/>
      <w:r w:rsidRPr="008B2362">
        <w:rPr>
          <w:rFonts w:ascii="Times New Roman" w:hAnsi="Times New Roman" w:cs="Times New Roman"/>
          <w:color w:val="000000"/>
          <w:sz w:val="21"/>
          <w:szCs w:val="21"/>
        </w:rPr>
        <w:t>anonimizacji</w:t>
      </w:r>
      <w:proofErr w:type="spellEnd"/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D217150" w14:textId="12A95C25" w:rsidR="00087D37" w:rsidRPr="008B2362" w:rsidRDefault="00087D37" w:rsidP="00087D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Rozszerzenie katalogu podmiotów nieobjętych ustawą</w:t>
      </w:r>
    </w:p>
    <w:p w14:paraId="77197340" w14:textId="77777777" w:rsidR="00087D37" w:rsidRPr="008B2362" w:rsidRDefault="00087D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Rozszerzenie przesłanek odmowy </w:t>
      </w:r>
    </w:p>
    <w:p w14:paraId="67FED0AB" w14:textId="77777777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Informacje sektora publicznego objęte prawami własności przemysłowe</w:t>
      </w:r>
    </w:p>
    <w:p w14:paraId="15738545" w14:textId="77777777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Informacje sektora publicznego będące w posiadaniu bibliotek</w:t>
      </w:r>
      <w:r w:rsidR="00087D37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pedagogicznych </w:t>
      </w:r>
    </w:p>
    <w:p w14:paraId="1AAB5524" w14:textId="77777777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Informacje sektora publicznego wyłączone z dostępu lub do których</w:t>
      </w:r>
      <w:r w:rsidR="00087D37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dostęp jest ograniczony ze względu na ochronę infrastruktury krytycznej </w:t>
      </w:r>
    </w:p>
    <w:p w14:paraId="656DF85C" w14:textId="77777777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Informacje sektora publicznego stanowiące program komputerowy</w:t>
      </w:r>
      <w:r w:rsidR="00087D37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(zasada generalna i wyjątek)</w:t>
      </w:r>
    </w:p>
    <w:p w14:paraId="6F856C17" w14:textId="77777777" w:rsidR="00087D37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Umowa o udzielenie wyłącznego prawa – modyfikacja formuły </w:t>
      </w:r>
    </w:p>
    <w:p w14:paraId="3B83CCDC" w14:textId="1270D382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Przesłanki </w:t>
      </w:r>
      <w:r w:rsidR="008B2362">
        <w:rPr>
          <w:rFonts w:ascii="Times New Roman" w:hAnsi="Times New Roman" w:cs="Times New Roman"/>
          <w:color w:val="000000"/>
          <w:sz w:val="21"/>
          <w:szCs w:val="21"/>
        </w:rPr>
        <w:t xml:space="preserve">i procedura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zawarcia umowy na wyłączność </w:t>
      </w:r>
    </w:p>
    <w:p w14:paraId="74DA3738" w14:textId="77777777" w:rsidR="00087D37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Nowe ujęcie obowiązku oceny aktualności przesłanek zawarcia umowy</w:t>
      </w:r>
      <w:r w:rsidR="00087D37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na wyłączność </w:t>
      </w:r>
    </w:p>
    <w:p w14:paraId="1E01122B" w14:textId="77777777" w:rsidR="00B15EE8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Jawność umowy i oceny </w:t>
      </w:r>
    </w:p>
    <w:p w14:paraId="2F40633E" w14:textId="77777777" w:rsidR="00B15EE8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Nowy obowiązek odnoszący się do określenia warunków </w:t>
      </w:r>
    </w:p>
    <w:p w14:paraId="761E10F2" w14:textId="77777777" w:rsidR="00B15EE8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Domniemanie bezwarunkowości ponownego wykorzystywania </w:t>
      </w:r>
    </w:p>
    <w:p w14:paraId="0A126A3B" w14:textId="77777777" w:rsidR="00B15EE8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Reguły wykorzystywania informacji sektora publicznego udostępnionych</w:t>
      </w:r>
      <w:r w:rsidR="00B15EE8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za pośrednictwem strony BIP oraz portalu danych </w:t>
      </w:r>
    </w:p>
    <w:p w14:paraId="5614F051" w14:textId="77777777" w:rsidR="00B15EE8" w:rsidRPr="008B2362" w:rsidRDefault="00484937" w:rsidP="00B15EE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No</w:t>
      </w:r>
      <w:r w:rsidR="00B15EE8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we ujęcie przesłanek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trybu wnioskowego </w:t>
      </w:r>
    </w:p>
    <w:p w14:paraId="5CE5BAC5" w14:textId="77777777" w:rsidR="00B15EE8" w:rsidRPr="008B2362" w:rsidRDefault="00B15EE8" w:rsidP="00B15EE8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sz w:val="21"/>
          <w:szCs w:val="21"/>
        </w:rPr>
        <w:t>Informacje nieudostępnione w BIP lub portalu danych</w:t>
      </w:r>
    </w:p>
    <w:p w14:paraId="3D316E27" w14:textId="77777777" w:rsidR="00B15EE8" w:rsidRPr="008B2362" w:rsidRDefault="00B15EE8" w:rsidP="00B15EE8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sz w:val="21"/>
          <w:szCs w:val="21"/>
        </w:rPr>
        <w:t>Informacje udostępniane w innym systemie teleinformatycznym,</w:t>
      </w:r>
      <w:r w:rsidRPr="008B2362">
        <w:rPr>
          <w:rFonts w:ascii="Times New Roman" w:hAnsi="Times New Roman" w:cs="Times New Roman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sz w:val="21"/>
          <w:szCs w:val="21"/>
        </w:rPr>
        <w:t>przy których nie zostały określone warunki ponownego</w:t>
      </w:r>
      <w:r w:rsidRPr="008B2362">
        <w:rPr>
          <w:rFonts w:ascii="Times New Roman" w:hAnsi="Times New Roman" w:cs="Times New Roman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sz w:val="21"/>
          <w:szCs w:val="21"/>
        </w:rPr>
        <w:t>wykorzystywania lub opłaty za ponowne wykorzystywanie albo nie</w:t>
      </w:r>
      <w:r w:rsidRPr="008B2362">
        <w:rPr>
          <w:rFonts w:ascii="Times New Roman" w:hAnsi="Times New Roman" w:cs="Times New Roman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sz w:val="21"/>
          <w:szCs w:val="21"/>
        </w:rPr>
        <w:t xml:space="preserve">poinformowano o braku takich warunków lub opłat </w:t>
      </w:r>
    </w:p>
    <w:p w14:paraId="3BF5D1F4" w14:textId="77777777" w:rsidR="00B15EE8" w:rsidRPr="008B2362" w:rsidRDefault="00B15EE8" w:rsidP="00B15EE8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sz w:val="21"/>
          <w:szCs w:val="21"/>
        </w:rPr>
        <w:t>Informacje wykorzystywane na warunkach innych niż zostały dla</w:t>
      </w:r>
      <w:r w:rsidRPr="008B2362">
        <w:rPr>
          <w:rFonts w:ascii="Times New Roman" w:hAnsi="Times New Roman" w:cs="Times New Roman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sz w:val="21"/>
          <w:szCs w:val="21"/>
        </w:rPr>
        <w:t xml:space="preserve">tych informacji określone </w:t>
      </w:r>
    </w:p>
    <w:p w14:paraId="2A6C4929" w14:textId="77777777" w:rsidR="00B15EE8" w:rsidRPr="008B2362" w:rsidRDefault="00B15EE8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sz w:val="21"/>
          <w:szCs w:val="21"/>
        </w:rPr>
        <w:t>Informacje, które są udostępniane lub zostały przekazan</w:t>
      </w:r>
      <w:r w:rsidRPr="008B2362">
        <w:rPr>
          <w:rFonts w:ascii="Times New Roman" w:hAnsi="Times New Roman" w:cs="Times New Roman"/>
          <w:sz w:val="21"/>
          <w:szCs w:val="21"/>
        </w:rPr>
        <w:t xml:space="preserve">e </w:t>
      </w:r>
      <w:r w:rsidRPr="008B2362">
        <w:rPr>
          <w:rFonts w:ascii="Times New Roman" w:hAnsi="Times New Roman" w:cs="Times New Roman"/>
          <w:sz w:val="21"/>
          <w:szCs w:val="21"/>
        </w:rPr>
        <w:t>na podstawie innych ustaw określających zasady i tryb dostępu do</w:t>
      </w:r>
      <w:r w:rsidRPr="008B2362">
        <w:rPr>
          <w:rFonts w:ascii="Times New Roman" w:hAnsi="Times New Roman" w:cs="Times New Roman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sz w:val="21"/>
          <w:szCs w:val="21"/>
        </w:rPr>
        <w:t xml:space="preserve">informacji będących informacjami sektora publicznego </w:t>
      </w:r>
    </w:p>
    <w:p w14:paraId="5AD88477" w14:textId="77777777" w:rsidR="00B15EE8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Wniosek specjalny – nowe ujęcie</w:t>
      </w:r>
    </w:p>
    <w:p w14:paraId="241F2E38" w14:textId="77777777" w:rsidR="00B15EE8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Nowe ujęcie prawnych form działania podmiotu zobowiązanego </w:t>
      </w:r>
    </w:p>
    <w:p w14:paraId="5D55DE23" w14:textId="77777777" w:rsidR="008B2362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Przedmiot wniosku dotyczy informacji sektora publicznego, których</w:t>
      </w:r>
      <w:r w:rsidR="008B2362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podmiot zobowiązany nie posiada </w:t>
      </w:r>
    </w:p>
    <w:p w14:paraId="248CEEF4" w14:textId="77777777" w:rsidR="008B2362" w:rsidRPr="008B2362" w:rsidRDefault="00484937" w:rsidP="00484937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Sposób lub forma wskazane we wniosku spowodowałyby</w:t>
      </w:r>
      <w:r w:rsidR="008B2362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konieczność podjęcia nieproporcjonalnych działań </w:t>
      </w:r>
    </w:p>
    <w:p w14:paraId="13ACA507" w14:textId="77777777" w:rsidR="008B2362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Obligatoryjny obowiązek aktualizacji </w:t>
      </w:r>
    </w:p>
    <w:p w14:paraId="2DC47933" w14:textId="77777777" w:rsidR="008B2362" w:rsidRPr="008B2362" w:rsidRDefault="008B2362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Możliwość S</w:t>
      </w:r>
      <w:r w:rsidR="00484937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tosowania standardowych licencji </w:t>
      </w:r>
    </w:p>
    <w:p w14:paraId="6D9D1DF2" w14:textId="77777777" w:rsidR="008B2362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Nowe ujęcie kosztów </w:t>
      </w:r>
    </w:p>
    <w:p w14:paraId="71BB1B6E" w14:textId="77777777" w:rsidR="008B2362" w:rsidRPr="008B2362" w:rsidRDefault="00484937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Perspektywa kosztów związanych z ponownym wykorzystywaniem</w:t>
      </w:r>
      <w:r w:rsidR="008B2362"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i dostępem do informacji publicznej </w:t>
      </w:r>
    </w:p>
    <w:p w14:paraId="35AAF082" w14:textId="77777777" w:rsidR="008B2362" w:rsidRPr="008B2362" w:rsidRDefault="008B2362" w:rsidP="00484937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484937" w:rsidRPr="008B2362">
        <w:rPr>
          <w:rFonts w:ascii="Times New Roman" w:hAnsi="Times New Roman" w:cs="Times New Roman"/>
          <w:color w:val="000000"/>
          <w:sz w:val="21"/>
          <w:szCs w:val="21"/>
        </w:rPr>
        <w:t>płaty za ponowne wykorzystywanie w ujęciu ustawy o otwartych</w:t>
      </w: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4937" w:rsidRPr="008B2362">
        <w:rPr>
          <w:rFonts w:ascii="Times New Roman" w:hAnsi="Times New Roman" w:cs="Times New Roman"/>
          <w:color w:val="000000"/>
          <w:sz w:val="21"/>
          <w:szCs w:val="21"/>
        </w:rPr>
        <w:t>danych 85</w:t>
      </w:r>
    </w:p>
    <w:p w14:paraId="4105A250" w14:textId="77777777" w:rsidR="008B2362" w:rsidRPr="008B2362" w:rsidRDefault="00484937" w:rsidP="004849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Tryb odwoławczy od decyzji </w:t>
      </w:r>
    </w:p>
    <w:p w14:paraId="61A3F5BD" w14:textId="77777777" w:rsidR="008B2362" w:rsidRPr="008B2362" w:rsidRDefault="00484937" w:rsidP="005744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Organ odwoławczy </w:t>
      </w:r>
    </w:p>
    <w:p w14:paraId="10A61C3D" w14:textId="076901E1" w:rsidR="00D544D2" w:rsidRPr="008B2362" w:rsidRDefault="00484937" w:rsidP="005744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8B2362">
        <w:rPr>
          <w:rFonts w:ascii="Times New Roman" w:hAnsi="Times New Roman" w:cs="Times New Roman"/>
          <w:color w:val="000000"/>
          <w:sz w:val="21"/>
          <w:szCs w:val="21"/>
        </w:rPr>
        <w:t xml:space="preserve">Decyzja o odmowie wyrażenia zgody </w:t>
      </w:r>
    </w:p>
    <w:sectPr w:rsidR="00D544D2" w:rsidRPr="008B2362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B3D2" w14:textId="77777777" w:rsidR="005A204B" w:rsidRDefault="005A204B" w:rsidP="00AC3985">
      <w:pPr>
        <w:spacing w:after="0" w:line="240" w:lineRule="auto"/>
      </w:pPr>
      <w:r>
        <w:separator/>
      </w:r>
    </w:p>
  </w:endnote>
  <w:endnote w:type="continuationSeparator" w:id="0">
    <w:p w14:paraId="69A073EE" w14:textId="77777777" w:rsidR="005A204B" w:rsidRDefault="005A204B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448" w14:textId="70224FAD" w:rsidR="002C2428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0585A" wp14:editId="56DA67A2">
              <wp:simplePos x="0" y="0"/>
              <wp:positionH relativeFrom="rightMargin">
                <wp:align>left</wp:align>
              </wp:positionH>
              <wp:positionV relativeFrom="page">
                <wp:posOffset>9963150</wp:posOffset>
              </wp:positionV>
              <wp:extent cx="436880" cy="656590"/>
              <wp:effectExtent l="0" t="0" r="20320" b="1016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656590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BE189" w14:textId="77777777" w:rsidR="002C2428" w:rsidRDefault="002C2428" w:rsidP="002C2428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8720EB">
                              <w:rPr>
                                <w:noProof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585A" id="Grupa 1" o:spid="_x0000_s1026" style="position:absolute;left:0;text-align:left;margin-left:0;margin-top:784.5pt;width:34.4pt;height:51.7pt;z-index:251659264;mso-position-horizontal:left;mso-position-horizontal-relative:right-margin-area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3CBBE189" w14:textId="77777777" w:rsidR="002C2428" w:rsidRDefault="002C2428" w:rsidP="002C2428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8720EB">
                        <w:rPr>
                          <w:noProof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Pr="002C2428">
      <w:rPr>
        <w:rFonts w:ascii="Garamond" w:hAnsi="Garamond"/>
        <w:sz w:val="18"/>
        <w:szCs w:val="18"/>
      </w:rPr>
      <w:t xml:space="preserve">Zapraszam do zapisania się do grupy:  </w:t>
    </w:r>
    <w:hyperlink r:id="rId1" w:history="1">
      <w:r w:rsidRPr="002C2428">
        <w:rPr>
          <w:rStyle w:val="Hipercze"/>
          <w:rFonts w:ascii="Garamond" w:hAnsi="Garamond"/>
          <w:sz w:val="18"/>
          <w:szCs w:val="18"/>
        </w:rPr>
        <w:t>https://www.facebook.com/groups/adminpublicznejinformacji/</w:t>
      </w:r>
    </w:hyperlink>
  </w:p>
  <w:p w14:paraId="3E10E185" w14:textId="31AB9CE9" w:rsidR="007C62E7" w:rsidRPr="002C2428" w:rsidRDefault="002C2428" w:rsidP="002C2428">
    <w:pPr>
      <w:pStyle w:val="Stopka"/>
      <w:jc w:val="center"/>
      <w:rPr>
        <w:rFonts w:ascii="Garamond" w:hAnsi="Garamond"/>
        <w:sz w:val="18"/>
        <w:szCs w:val="18"/>
      </w:rPr>
    </w:pPr>
    <w:r w:rsidRPr="002C2428">
      <w:rPr>
        <w:rFonts w:ascii="Garamond" w:hAnsi="Garamond"/>
        <w:b/>
        <w:sz w:val="18"/>
        <w:szCs w:val="18"/>
      </w:rPr>
      <w:t>www.jawnosc.pl</w:t>
    </w:r>
    <w:r w:rsidRPr="002C2428">
      <w:rPr>
        <w:rFonts w:ascii="Garamond" w:hAnsi="Garamond"/>
        <w:sz w:val="18"/>
        <w:szCs w:val="18"/>
      </w:rPr>
      <w:t xml:space="preserve">  adw. dr hab. Piotr Sitniewski – kontakt z trenerem: </w:t>
    </w:r>
    <w:r w:rsidRPr="002C2428">
      <w:rPr>
        <w:rFonts w:ascii="Garamond" w:hAnsi="Garamond"/>
        <w:b/>
        <w:sz w:val="18"/>
        <w:szCs w:val="18"/>
      </w:rPr>
      <w:t>piotrsitniewski@gmail.com</w:t>
    </w:r>
    <w:r w:rsidRPr="002C2428">
      <w:rPr>
        <w:rFonts w:ascii="Garamond" w:hAnsi="Garamon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B07E" w14:textId="77777777" w:rsidR="005A204B" w:rsidRDefault="005A204B" w:rsidP="00AC3985">
      <w:pPr>
        <w:spacing w:after="0" w:line="240" w:lineRule="auto"/>
      </w:pPr>
      <w:r>
        <w:separator/>
      </w:r>
    </w:p>
  </w:footnote>
  <w:footnote w:type="continuationSeparator" w:id="0">
    <w:p w14:paraId="459EFB37" w14:textId="77777777" w:rsidR="005A204B" w:rsidRDefault="005A204B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C394" w14:textId="04ED3D5D" w:rsidR="00F11D63" w:rsidRPr="00CA2911" w:rsidRDefault="00FC0CD2" w:rsidP="00F11D63">
    <w:pPr>
      <w:pStyle w:val="Nagwek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b/>
        <w:bCs/>
        <w:sz w:val="18"/>
        <w:szCs w:val="18"/>
      </w:rPr>
      <w:t>PROGRAM s</w:t>
    </w:r>
    <w:r w:rsidR="00F11D63" w:rsidRPr="00CA2911">
      <w:rPr>
        <w:rFonts w:ascii="Comic Sans MS" w:hAnsi="Comic Sans MS"/>
        <w:b/>
        <w:bCs/>
        <w:sz w:val="18"/>
        <w:szCs w:val="18"/>
      </w:rPr>
      <w:t>zkoleni</w:t>
    </w:r>
    <w:r>
      <w:rPr>
        <w:rFonts w:ascii="Comic Sans MS" w:hAnsi="Comic Sans MS"/>
        <w:b/>
        <w:bCs/>
        <w:sz w:val="18"/>
        <w:szCs w:val="18"/>
      </w:rPr>
      <w:t xml:space="preserve">a </w:t>
    </w:r>
    <w:r w:rsidR="00F11D63" w:rsidRPr="00CA2911"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 w:rsidR="00F11D63" w:rsidRPr="00CA2911">
      <w:rPr>
        <w:rFonts w:ascii="Comic Sans MS" w:hAnsi="Comic Sans MS"/>
        <w:b/>
        <w:bCs/>
        <w:sz w:val="18"/>
        <w:szCs w:val="18"/>
      </w:rPr>
      <w:t xml:space="preserve"> ,,</w:t>
    </w:r>
    <w:r w:rsidR="00F11D63" w:rsidRPr="00CA2911">
      <w:rPr>
        <w:rFonts w:ascii="Comic Sans MS" w:hAnsi="Comic Sans MS" w:cstheme="majorHAnsi"/>
        <w:b/>
        <w:bCs/>
        <w:sz w:val="18"/>
        <w:szCs w:val="18"/>
      </w:rPr>
      <w:t xml:space="preserve"> Otwarte dane i ponowne wykorzystywanie informacji sektora publicznego – przewodnik po zmianach-11.02.2022</w:t>
    </w:r>
    <w:r w:rsidR="00F11D63" w:rsidRPr="00CA2911">
      <w:rPr>
        <w:rFonts w:ascii="Comic Sans MS" w:hAnsi="Comic Sans MS"/>
        <w:b/>
        <w:bCs/>
        <w:sz w:val="18"/>
        <w:szCs w:val="18"/>
      </w:rPr>
      <w:t>”</w:t>
    </w:r>
  </w:p>
  <w:p w14:paraId="231410F7" w14:textId="47E55FC7" w:rsidR="003009EC" w:rsidRPr="001C53C4" w:rsidRDefault="003009EC" w:rsidP="001C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F5"/>
    <w:multiLevelType w:val="multilevel"/>
    <w:tmpl w:val="79D2C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19"/>
  </w:num>
  <w:num w:numId="4">
    <w:abstractNumId w:val="25"/>
  </w:num>
  <w:num w:numId="5">
    <w:abstractNumId w:val="4"/>
  </w:num>
  <w:num w:numId="6">
    <w:abstractNumId w:val="8"/>
  </w:num>
  <w:num w:numId="7">
    <w:abstractNumId w:val="9"/>
  </w:num>
  <w:num w:numId="8">
    <w:abstractNumId w:val="35"/>
  </w:num>
  <w:num w:numId="9">
    <w:abstractNumId w:val="16"/>
  </w:num>
  <w:num w:numId="10">
    <w:abstractNumId w:val="12"/>
  </w:num>
  <w:num w:numId="11">
    <w:abstractNumId w:val="32"/>
  </w:num>
  <w:num w:numId="12">
    <w:abstractNumId w:val="20"/>
  </w:num>
  <w:num w:numId="13">
    <w:abstractNumId w:val="30"/>
  </w:num>
  <w:num w:numId="14">
    <w:abstractNumId w:val="33"/>
  </w:num>
  <w:num w:numId="15">
    <w:abstractNumId w:val="5"/>
  </w:num>
  <w:num w:numId="16">
    <w:abstractNumId w:val="31"/>
  </w:num>
  <w:num w:numId="17">
    <w:abstractNumId w:val="22"/>
  </w:num>
  <w:num w:numId="18">
    <w:abstractNumId w:val="38"/>
  </w:num>
  <w:num w:numId="19">
    <w:abstractNumId w:val="26"/>
  </w:num>
  <w:num w:numId="20">
    <w:abstractNumId w:val="21"/>
  </w:num>
  <w:num w:numId="21">
    <w:abstractNumId w:val="15"/>
  </w:num>
  <w:num w:numId="22">
    <w:abstractNumId w:val="41"/>
  </w:num>
  <w:num w:numId="23">
    <w:abstractNumId w:val="7"/>
  </w:num>
  <w:num w:numId="24">
    <w:abstractNumId w:val="14"/>
  </w:num>
  <w:num w:numId="25">
    <w:abstractNumId w:val="17"/>
  </w:num>
  <w:num w:numId="26">
    <w:abstractNumId w:val="23"/>
  </w:num>
  <w:num w:numId="27">
    <w:abstractNumId w:val="36"/>
  </w:num>
  <w:num w:numId="28">
    <w:abstractNumId w:val="6"/>
  </w:num>
  <w:num w:numId="29">
    <w:abstractNumId w:val="13"/>
  </w:num>
  <w:num w:numId="30">
    <w:abstractNumId w:val="11"/>
  </w:num>
  <w:num w:numId="31">
    <w:abstractNumId w:val="2"/>
  </w:num>
  <w:num w:numId="32">
    <w:abstractNumId w:val="27"/>
  </w:num>
  <w:num w:numId="33">
    <w:abstractNumId w:val="10"/>
  </w:num>
  <w:num w:numId="34">
    <w:abstractNumId w:val="28"/>
  </w:num>
  <w:num w:numId="35">
    <w:abstractNumId w:val="1"/>
  </w:num>
  <w:num w:numId="36">
    <w:abstractNumId w:val="37"/>
  </w:num>
  <w:num w:numId="37">
    <w:abstractNumId w:val="42"/>
  </w:num>
  <w:num w:numId="38">
    <w:abstractNumId w:val="24"/>
  </w:num>
  <w:num w:numId="39">
    <w:abstractNumId w:val="29"/>
  </w:num>
  <w:num w:numId="40">
    <w:abstractNumId w:val="18"/>
  </w:num>
  <w:num w:numId="41">
    <w:abstractNumId w:val="40"/>
  </w:num>
  <w:num w:numId="42">
    <w:abstractNumId w:val="34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87D37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91395"/>
    <w:rsid w:val="001B6B1B"/>
    <w:rsid w:val="001C53C4"/>
    <w:rsid w:val="001C69D4"/>
    <w:rsid w:val="001E0B07"/>
    <w:rsid w:val="001F1C78"/>
    <w:rsid w:val="002048DD"/>
    <w:rsid w:val="00233D91"/>
    <w:rsid w:val="00272BFB"/>
    <w:rsid w:val="0027491E"/>
    <w:rsid w:val="002824FA"/>
    <w:rsid w:val="0028642F"/>
    <w:rsid w:val="002A1B5E"/>
    <w:rsid w:val="002B77AE"/>
    <w:rsid w:val="002C2428"/>
    <w:rsid w:val="002E135B"/>
    <w:rsid w:val="002E6940"/>
    <w:rsid w:val="002F4FA8"/>
    <w:rsid w:val="003009EC"/>
    <w:rsid w:val="00307363"/>
    <w:rsid w:val="003219A1"/>
    <w:rsid w:val="00350EBA"/>
    <w:rsid w:val="003510C6"/>
    <w:rsid w:val="00351DAE"/>
    <w:rsid w:val="003537FA"/>
    <w:rsid w:val="003619E9"/>
    <w:rsid w:val="00370A6B"/>
    <w:rsid w:val="00382063"/>
    <w:rsid w:val="00384CA3"/>
    <w:rsid w:val="00396194"/>
    <w:rsid w:val="00396E0A"/>
    <w:rsid w:val="00397FA6"/>
    <w:rsid w:val="003A5C4C"/>
    <w:rsid w:val="003B2EED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4937"/>
    <w:rsid w:val="00487134"/>
    <w:rsid w:val="004978AD"/>
    <w:rsid w:val="004B7671"/>
    <w:rsid w:val="004C4B06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A204B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362"/>
    <w:rsid w:val="008B28DE"/>
    <w:rsid w:val="008B35FF"/>
    <w:rsid w:val="008D1B7A"/>
    <w:rsid w:val="008D2E3F"/>
    <w:rsid w:val="008D78AD"/>
    <w:rsid w:val="008E3FFD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15D1"/>
    <w:rsid w:val="00A779A1"/>
    <w:rsid w:val="00A9208D"/>
    <w:rsid w:val="00AB0D73"/>
    <w:rsid w:val="00AC3985"/>
    <w:rsid w:val="00B10049"/>
    <w:rsid w:val="00B159B1"/>
    <w:rsid w:val="00B15EE8"/>
    <w:rsid w:val="00B20258"/>
    <w:rsid w:val="00B5389D"/>
    <w:rsid w:val="00B62049"/>
    <w:rsid w:val="00B75F02"/>
    <w:rsid w:val="00BA27C0"/>
    <w:rsid w:val="00BB395C"/>
    <w:rsid w:val="00BE7AC3"/>
    <w:rsid w:val="00BF3C02"/>
    <w:rsid w:val="00C1145D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E7282"/>
    <w:rsid w:val="00CE7386"/>
    <w:rsid w:val="00D06137"/>
    <w:rsid w:val="00D105E3"/>
    <w:rsid w:val="00D21651"/>
    <w:rsid w:val="00D544D2"/>
    <w:rsid w:val="00D935BD"/>
    <w:rsid w:val="00DD1AE0"/>
    <w:rsid w:val="00DD4292"/>
    <w:rsid w:val="00DD5413"/>
    <w:rsid w:val="00DE10A3"/>
    <w:rsid w:val="00E044D6"/>
    <w:rsid w:val="00E07C1B"/>
    <w:rsid w:val="00E243C0"/>
    <w:rsid w:val="00E24B98"/>
    <w:rsid w:val="00E278C3"/>
    <w:rsid w:val="00E31E97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1D63"/>
    <w:rsid w:val="00F13956"/>
    <w:rsid w:val="00F14921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CD2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adminpublicznejinform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dr hab. Piotr Sitniewski</cp:lastModifiedBy>
  <cp:revision>126</cp:revision>
  <cp:lastPrinted>2021-01-14T20:33:00Z</cp:lastPrinted>
  <dcterms:created xsi:type="dcterms:W3CDTF">2019-03-21T20:02:00Z</dcterms:created>
  <dcterms:modified xsi:type="dcterms:W3CDTF">2022-01-10T12:05:00Z</dcterms:modified>
</cp:coreProperties>
</file>